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8E" w:rsidRDefault="00FD2F0F">
      <w:bookmarkStart w:id="0" w:name="_GoBack"/>
      <w:bookmarkEnd w:id="0"/>
      <w:r>
        <w:t>Retention rate captures the proportion of students who continued in Business programs after their first year.</w:t>
      </w:r>
      <w:r w:rsidR="001A048E">
        <w:t xml:space="preserve"> Retention rates were calculated by taking the number of retained students (total number of students subtracted by the number of students who withdrew) divided by the number of total students (unduplicated headcount of students each academic year). </w:t>
      </w:r>
    </w:p>
    <w:p w:rsidR="00E04056" w:rsidRDefault="00E04056" w:rsidP="00E04056">
      <w:pPr>
        <w:jc w:val="center"/>
      </w:pPr>
      <w:r>
        <w:rPr>
          <w:noProof/>
        </w:rPr>
        <w:drawing>
          <wp:inline distT="0" distB="0" distL="0" distR="0" wp14:anchorId="3B79FF95" wp14:editId="524EDC82">
            <wp:extent cx="4572000" cy="2743200"/>
            <wp:effectExtent l="0" t="0" r="0" b="0"/>
            <wp:docPr id="7" name="Chart 7">
              <a:extLst xmlns:a="http://schemas.openxmlformats.org/drawingml/2006/main">
                <a:ext uri="{FF2B5EF4-FFF2-40B4-BE49-F238E27FC236}">
                  <a16:creationId xmlns:a16="http://schemas.microsoft.com/office/drawing/2014/main" id="{A94CE8CE-210D-4250-8BD4-882597A15E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4056" w:rsidRDefault="00E04056" w:rsidP="00E04056">
      <w:pPr>
        <w:jc w:val="center"/>
      </w:pPr>
      <w:r>
        <w:t>The graph above shows the current (2024) retention rates of all Business programs</w:t>
      </w:r>
      <w:r w:rsidR="00A14851">
        <w:t>. The green bar shows the Business Division’s overall retention (-0.67). Logistic Supply (0.20) and Agribusiness (-0.07) were the two programs that had the highest retention rates while Medical Supply (-7.00) and Office Management (-2.50) had the lowest. It should be noted that Office Management is the smallest program (</w:t>
      </w:r>
      <w:r w:rsidR="000854F7">
        <w:t>going from 7 to 2 students from 2023 to 2024).</w:t>
      </w:r>
    </w:p>
    <w:p w:rsidR="00FD2F0F" w:rsidRDefault="007503B8" w:rsidP="007503B8">
      <w:pPr>
        <w:jc w:val="center"/>
      </w:pPr>
      <w:r>
        <w:rPr>
          <w:noProof/>
        </w:rPr>
        <w:drawing>
          <wp:inline distT="0" distB="0" distL="0" distR="0" wp14:anchorId="57467CD8" wp14:editId="4515583C">
            <wp:extent cx="4587875" cy="2466975"/>
            <wp:effectExtent l="0" t="0" r="3175" b="9525"/>
            <wp:docPr id="1" name="Chart 1">
              <a:extLst xmlns:a="http://schemas.openxmlformats.org/drawingml/2006/main">
                <a:ext uri="{FF2B5EF4-FFF2-40B4-BE49-F238E27FC236}">
                  <a16:creationId xmlns:a16="http://schemas.microsoft.com/office/drawing/2014/main" id="{75B02EF6-D22E-468F-8FE6-1C7148776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03B8" w:rsidRDefault="007503B8" w:rsidP="007503B8">
      <w:r>
        <w:t>Accounting is the second largest program the Business Division offers. The retention rate was in line with the overall division in 2022 and steadily dec</w:t>
      </w:r>
      <w:r w:rsidR="008A6FBA">
        <w:t>lined</w:t>
      </w:r>
      <w:r>
        <w:t xml:space="preserve"> (2022-2024). The decrease from 2023 (77 students) to 2024 (44 students) impacted the overall Business Division retention rate.</w:t>
      </w:r>
    </w:p>
    <w:p w:rsidR="007503B8" w:rsidRDefault="00E04056" w:rsidP="00E04056">
      <w:pPr>
        <w:jc w:val="center"/>
      </w:pPr>
      <w:r>
        <w:rPr>
          <w:noProof/>
        </w:rPr>
        <w:lastRenderedPageBreak/>
        <w:drawing>
          <wp:inline distT="0" distB="0" distL="0" distR="0" wp14:anchorId="632FFD1B" wp14:editId="03E0066E">
            <wp:extent cx="4572000" cy="2187575"/>
            <wp:effectExtent l="0" t="0" r="0" b="3175"/>
            <wp:docPr id="2" name="Chart 2">
              <a:extLst xmlns:a="http://schemas.openxmlformats.org/drawingml/2006/main">
                <a:ext uri="{FF2B5EF4-FFF2-40B4-BE49-F238E27FC236}">
                  <a16:creationId xmlns:a16="http://schemas.microsoft.com/office/drawing/2014/main" id="{2A7F29B2-E459-4487-9357-23881B3D9F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54F7" w:rsidRDefault="000854F7" w:rsidP="00E04056">
      <w:pPr>
        <w:jc w:val="center"/>
      </w:pPr>
      <w:r>
        <w:t>Agribusiness is the third largest program. The program had the second highest retention rate. It has retained a higher of students compared to the overall Business Division over the past two years.</w:t>
      </w:r>
    </w:p>
    <w:p w:rsidR="00E04056" w:rsidRDefault="00E04056" w:rsidP="00E04056">
      <w:pPr>
        <w:jc w:val="center"/>
      </w:pPr>
      <w:r>
        <w:rPr>
          <w:noProof/>
        </w:rPr>
        <w:drawing>
          <wp:inline distT="0" distB="0" distL="0" distR="0" wp14:anchorId="32B3642E" wp14:editId="38AE79BC">
            <wp:extent cx="4292600" cy="2743200"/>
            <wp:effectExtent l="0" t="0" r="12700" b="0"/>
            <wp:docPr id="3" name="Chart 3">
              <a:extLst xmlns:a="http://schemas.openxmlformats.org/drawingml/2006/main">
                <a:ext uri="{FF2B5EF4-FFF2-40B4-BE49-F238E27FC236}">
                  <a16:creationId xmlns:a16="http://schemas.microsoft.com/office/drawing/2014/main" id="{AE2FEE38-D194-440F-B1E9-71297FC20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54F7" w:rsidRDefault="000854F7" w:rsidP="00E04056">
      <w:pPr>
        <w:jc w:val="center"/>
      </w:pPr>
      <w:r>
        <w:t xml:space="preserve">The Bank Finance Program retained the same </w:t>
      </w:r>
      <w:r w:rsidR="00530F8E">
        <w:t>number</w:t>
      </w:r>
      <w:r>
        <w:t xml:space="preserve"> of students as the overall Business Division in 2022. However, this program significantly decreased in 2023 (-0.65), dropping from 38 students to 23 then dropping by almost half of the number of students in 2024 (</w:t>
      </w:r>
      <w:r w:rsidR="0091483D">
        <w:t>23 to 11).</w:t>
      </w:r>
    </w:p>
    <w:p w:rsidR="00E04056" w:rsidRDefault="00E04056" w:rsidP="00E04056">
      <w:pPr>
        <w:jc w:val="center"/>
      </w:pPr>
      <w:r>
        <w:rPr>
          <w:noProof/>
        </w:rPr>
        <w:lastRenderedPageBreak/>
        <w:drawing>
          <wp:inline distT="0" distB="0" distL="0" distR="0" wp14:anchorId="484D3A2F" wp14:editId="74B3354C">
            <wp:extent cx="4572000" cy="2717800"/>
            <wp:effectExtent l="0" t="0" r="0" b="6350"/>
            <wp:docPr id="4" name="Chart 4">
              <a:extLst xmlns:a="http://schemas.openxmlformats.org/drawingml/2006/main">
                <a:ext uri="{FF2B5EF4-FFF2-40B4-BE49-F238E27FC236}">
                  <a16:creationId xmlns:a16="http://schemas.microsoft.com/office/drawing/2014/main" id="{04BA0859-91B4-4FCA-8A06-808DFCE7C3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483D" w:rsidRDefault="0091483D" w:rsidP="00E04056">
      <w:pPr>
        <w:jc w:val="center"/>
      </w:pPr>
      <w:r>
        <w:t>Business Management is the largest program. Due to the program’s larger number of students as well as retained Business students, the retention rate is similar to the overall division’s retention rate. The Business Management program experienced the biggest decrease in the number of retained students from 2023 to 2024, dropping from 143 students to 90.</w:t>
      </w:r>
    </w:p>
    <w:p w:rsidR="00E04056" w:rsidRDefault="00E04056" w:rsidP="00E04056">
      <w:pPr>
        <w:jc w:val="center"/>
      </w:pPr>
      <w:r>
        <w:rPr>
          <w:noProof/>
        </w:rPr>
        <w:drawing>
          <wp:inline distT="0" distB="0" distL="0" distR="0" wp14:anchorId="7887BEC7" wp14:editId="6CDA5E2A">
            <wp:extent cx="4340225" cy="2743200"/>
            <wp:effectExtent l="0" t="0" r="3175" b="0"/>
            <wp:docPr id="5" name="Chart 5">
              <a:extLst xmlns:a="http://schemas.openxmlformats.org/drawingml/2006/main">
                <a:ext uri="{FF2B5EF4-FFF2-40B4-BE49-F238E27FC236}">
                  <a16:creationId xmlns:a16="http://schemas.microsoft.com/office/drawing/2014/main" id="{A9BF9487-2C60-4B91-B41C-DFD2F3987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483D" w:rsidRDefault="0091483D" w:rsidP="00E04056">
      <w:pPr>
        <w:jc w:val="center"/>
      </w:pPr>
      <w:r>
        <w:t>Entrepreneurship’s has retained students at a higher rate compared to the overall Business Division from 2022 to 2023. In 2024, the program’s retention rate reflected the Business Division’s rate.</w:t>
      </w:r>
    </w:p>
    <w:p w:rsidR="00E04056" w:rsidRDefault="00E04056" w:rsidP="00E04056">
      <w:pPr>
        <w:jc w:val="center"/>
      </w:pPr>
      <w:r>
        <w:rPr>
          <w:noProof/>
        </w:rPr>
        <w:lastRenderedPageBreak/>
        <w:drawing>
          <wp:inline distT="0" distB="0" distL="0" distR="0" wp14:anchorId="1825BC09" wp14:editId="7AAB64BB">
            <wp:extent cx="4572000" cy="2743200"/>
            <wp:effectExtent l="0" t="0" r="0" b="0"/>
            <wp:docPr id="6" name="Chart 6">
              <a:extLst xmlns:a="http://schemas.openxmlformats.org/drawingml/2006/main">
                <a:ext uri="{FF2B5EF4-FFF2-40B4-BE49-F238E27FC236}">
                  <a16:creationId xmlns:a16="http://schemas.microsoft.com/office/drawing/2014/main" id="{89E9D207-35CF-4590-8F02-34CE83320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483D" w:rsidRDefault="0091483D" w:rsidP="00E04056">
      <w:pPr>
        <w:jc w:val="center"/>
      </w:pPr>
      <w:r>
        <w:t>Human Resources Management retained more students compared to the overall division in 2022. However, the retention rate began to decline in 2023. This program experienced the largest decrease from 2023 to 2024, losing over half the number of students (20 to 12).</w:t>
      </w:r>
    </w:p>
    <w:p w:rsidR="00863B93" w:rsidRDefault="00863B93" w:rsidP="00E04056">
      <w:pPr>
        <w:jc w:val="center"/>
      </w:pPr>
      <w:r>
        <w:rPr>
          <w:noProof/>
        </w:rPr>
        <w:drawing>
          <wp:inline distT="0" distB="0" distL="0" distR="0" wp14:anchorId="6BD3F84A" wp14:editId="3DE928CB">
            <wp:extent cx="4572000" cy="2743200"/>
            <wp:effectExtent l="0" t="0" r="0" b="0"/>
            <wp:docPr id="8" name="Chart 8">
              <a:extLst xmlns:a="http://schemas.openxmlformats.org/drawingml/2006/main">
                <a:ext uri="{FF2B5EF4-FFF2-40B4-BE49-F238E27FC236}">
                  <a16:creationId xmlns:a16="http://schemas.microsoft.com/office/drawing/2014/main" id="{1EE1F9A6-B44D-446B-A45B-0A52A692D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4166" w:rsidRDefault="00534166" w:rsidP="00E04056">
      <w:pPr>
        <w:jc w:val="center"/>
      </w:pPr>
      <w:r>
        <w:t>The Logistics and Supply Chain Management program is the third smallest program. The program retained more students compared to overall division in 2022. The LSCM retention rate experienced a large decline from 2022 to 2023 (0.27 to -1.75). The program’s retention rate rebounded in 2024, retaining more students than the overall Business Division.</w:t>
      </w:r>
    </w:p>
    <w:p w:rsidR="0022351B" w:rsidRDefault="0022351B" w:rsidP="00E04056">
      <w:pPr>
        <w:jc w:val="center"/>
      </w:pPr>
      <w:r>
        <w:rPr>
          <w:noProof/>
        </w:rPr>
        <w:lastRenderedPageBreak/>
        <w:drawing>
          <wp:inline distT="0" distB="0" distL="0" distR="0" wp14:anchorId="55102166" wp14:editId="66DE1E51">
            <wp:extent cx="4572000" cy="2743200"/>
            <wp:effectExtent l="0" t="0" r="0" b="0"/>
            <wp:docPr id="9" name="Chart 9">
              <a:extLst xmlns:a="http://schemas.openxmlformats.org/drawingml/2006/main">
                <a:ext uri="{FF2B5EF4-FFF2-40B4-BE49-F238E27FC236}">
                  <a16:creationId xmlns:a16="http://schemas.microsoft.com/office/drawing/2014/main" id="{662E29D1-66E4-4161-9320-4EAC922780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4166" w:rsidRDefault="00534166" w:rsidP="00E04056">
      <w:pPr>
        <w:jc w:val="center"/>
      </w:pPr>
      <w:r>
        <w:t>The Marketing program retained more students compared to the division from 2022 to 2023. However, the retention rate experienced a large decrease</w:t>
      </w:r>
      <w:r w:rsidR="009F44CF">
        <w:t xml:space="preserve"> from 2023 to 2024 (0.31 to -0.88). The decrease runs parallel with the overall </w:t>
      </w:r>
      <w:r w:rsidR="00530F8E">
        <w:t>division;</w:t>
      </w:r>
      <w:r w:rsidR="009F44CF">
        <w:t xml:space="preserve"> however, the retention rate is 0.21 lower. The program lost almost twice the number of students from 2023 to 2024 (45 to 24). </w:t>
      </w:r>
    </w:p>
    <w:p w:rsidR="0022351B" w:rsidRDefault="0022351B" w:rsidP="00E04056">
      <w:pPr>
        <w:jc w:val="center"/>
      </w:pPr>
      <w:r>
        <w:rPr>
          <w:noProof/>
        </w:rPr>
        <w:drawing>
          <wp:inline distT="0" distB="0" distL="0" distR="0" wp14:anchorId="4D3746CE" wp14:editId="5CA431B0">
            <wp:extent cx="4572000" cy="2743200"/>
            <wp:effectExtent l="0" t="0" r="0" b="0"/>
            <wp:docPr id="10" name="Chart 10">
              <a:extLst xmlns:a="http://schemas.openxmlformats.org/drawingml/2006/main">
                <a:ext uri="{FF2B5EF4-FFF2-40B4-BE49-F238E27FC236}">
                  <a16:creationId xmlns:a16="http://schemas.microsoft.com/office/drawing/2014/main" id="{C8BFA433-4727-4F37-98DA-1858B5740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44CF" w:rsidRDefault="009F44CF" w:rsidP="00E04056">
      <w:pPr>
        <w:jc w:val="center"/>
      </w:pPr>
      <w:r>
        <w:t>The Medical Support Program retention rate experienced a larger decrease in 2023. It experienced a large decrease from 2023 to 2024 (8 to 1 student). It should be noted that the Medical Support Program is the smallest program.</w:t>
      </w:r>
    </w:p>
    <w:p w:rsidR="0022351B" w:rsidRDefault="0022351B" w:rsidP="00E04056">
      <w:pPr>
        <w:jc w:val="center"/>
      </w:pPr>
      <w:r>
        <w:rPr>
          <w:noProof/>
        </w:rPr>
        <w:lastRenderedPageBreak/>
        <w:drawing>
          <wp:inline distT="0" distB="0" distL="0" distR="0" wp14:anchorId="40D716AE" wp14:editId="168DEAAE">
            <wp:extent cx="4572000" cy="2743200"/>
            <wp:effectExtent l="0" t="0" r="0" b="0"/>
            <wp:docPr id="11" name="Chart 11">
              <a:extLst xmlns:a="http://schemas.openxmlformats.org/drawingml/2006/main">
                <a:ext uri="{FF2B5EF4-FFF2-40B4-BE49-F238E27FC236}">
                  <a16:creationId xmlns:a16="http://schemas.microsoft.com/office/drawing/2014/main" id="{6EAF6AED-DEBC-45E0-98AD-12E7B4B448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44CF" w:rsidRDefault="009F44CF" w:rsidP="00E04056">
      <w:pPr>
        <w:jc w:val="center"/>
      </w:pPr>
      <w:r>
        <w:t>The Office Administration program has steadily retained more students compared to the overall Business Division over the past three years. The rate has experienced slight decreases over the past two years, but has persistently maintained from 10 to 21 students.</w:t>
      </w:r>
    </w:p>
    <w:p w:rsidR="0022351B" w:rsidRDefault="0022351B" w:rsidP="00E04056">
      <w:pPr>
        <w:jc w:val="center"/>
      </w:pPr>
      <w:r>
        <w:rPr>
          <w:noProof/>
        </w:rPr>
        <w:drawing>
          <wp:inline distT="0" distB="0" distL="0" distR="0" wp14:anchorId="7FDBEBA2" wp14:editId="32EBB305">
            <wp:extent cx="4572000" cy="2743200"/>
            <wp:effectExtent l="0" t="0" r="0" b="0"/>
            <wp:docPr id="12" name="Chart 12">
              <a:extLst xmlns:a="http://schemas.openxmlformats.org/drawingml/2006/main">
                <a:ext uri="{FF2B5EF4-FFF2-40B4-BE49-F238E27FC236}">
                  <a16:creationId xmlns:a16="http://schemas.microsoft.com/office/drawing/2014/main" id="{F9C61022-E7D0-4F2A-98EC-79B17D1F3D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44CF" w:rsidRDefault="009F44CF" w:rsidP="00E04056">
      <w:pPr>
        <w:jc w:val="center"/>
      </w:pPr>
      <w:r>
        <w:t>Office Management is the smallest program</w:t>
      </w:r>
      <w:r w:rsidR="00013502">
        <w:t xml:space="preserve">. The retention rate experienced a decrease from 0.55 to -0.57 from 2022 to 2023. The program experienced the largest decrease from 2023 to 2024 (-0.57 to -2.50). Again, it should be noted the range of students over the last three years is from 2 to 11. </w:t>
      </w:r>
    </w:p>
    <w:sectPr w:rsidR="009F44C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5D" w:rsidRDefault="00875B5D" w:rsidP="00530F8E">
      <w:pPr>
        <w:spacing w:after="0" w:line="240" w:lineRule="auto"/>
      </w:pPr>
      <w:r>
        <w:separator/>
      </w:r>
    </w:p>
  </w:endnote>
  <w:endnote w:type="continuationSeparator" w:id="0">
    <w:p w:rsidR="00875B5D" w:rsidRDefault="00875B5D" w:rsidP="0053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5D" w:rsidRDefault="00875B5D" w:rsidP="00530F8E">
      <w:pPr>
        <w:spacing w:after="0" w:line="240" w:lineRule="auto"/>
      </w:pPr>
      <w:r>
        <w:separator/>
      </w:r>
    </w:p>
  </w:footnote>
  <w:footnote w:type="continuationSeparator" w:id="0">
    <w:p w:rsidR="00875B5D" w:rsidRDefault="00875B5D" w:rsidP="0053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272958"/>
      <w:docPartObj>
        <w:docPartGallery w:val="Page Numbers (Top of Page)"/>
        <w:docPartUnique/>
      </w:docPartObj>
    </w:sdtPr>
    <w:sdtEndPr>
      <w:rPr>
        <w:noProof/>
      </w:rPr>
    </w:sdtEndPr>
    <w:sdtContent>
      <w:p w:rsidR="00530F8E" w:rsidRDefault="00530F8E">
        <w:pPr>
          <w:pStyle w:val="Header"/>
          <w:jc w:val="right"/>
        </w:pPr>
        <w:r>
          <w:fldChar w:fldCharType="begin"/>
        </w:r>
        <w:r>
          <w:instrText xml:space="preserve"> PAGE   \* MERGEFORMAT </w:instrText>
        </w:r>
        <w:r>
          <w:fldChar w:fldCharType="separate"/>
        </w:r>
        <w:r w:rsidR="001B09E2">
          <w:rPr>
            <w:noProof/>
          </w:rPr>
          <w:t>3</w:t>
        </w:r>
        <w:r>
          <w:rPr>
            <w:noProof/>
          </w:rPr>
          <w:fldChar w:fldCharType="end"/>
        </w:r>
      </w:p>
    </w:sdtContent>
  </w:sdt>
  <w:p w:rsidR="00530F8E" w:rsidRDefault="00530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0F"/>
    <w:rsid w:val="00013502"/>
    <w:rsid w:val="000854F7"/>
    <w:rsid w:val="001A048E"/>
    <w:rsid w:val="001B09E2"/>
    <w:rsid w:val="0022351B"/>
    <w:rsid w:val="00530F8E"/>
    <w:rsid w:val="00534166"/>
    <w:rsid w:val="007503B8"/>
    <w:rsid w:val="0076225F"/>
    <w:rsid w:val="00863B93"/>
    <w:rsid w:val="00875B5D"/>
    <w:rsid w:val="008A6FBA"/>
    <w:rsid w:val="0091483D"/>
    <w:rsid w:val="009F44CF"/>
    <w:rsid w:val="00A14851"/>
    <w:rsid w:val="00BF0E6A"/>
    <w:rsid w:val="00C80F4C"/>
    <w:rsid w:val="00E04056"/>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1D16A-6F74-4C16-A099-8CA26776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F8E"/>
  </w:style>
  <w:style w:type="paragraph" w:styleId="Footer">
    <w:name w:val="footer"/>
    <w:basedOn w:val="Normal"/>
    <w:link w:val="FooterChar"/>
    <w:uiPriority w:val="99"/>
    <w:unhideWhenUsed/>
    <w:rsid w:val="0053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int.northweststate.edu\private$\redirects$\keason\Desktop\BusinessRetentionRat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Retention</a:t>
            </a:r>
            <a:r>
              <a:rPr lang="en-US" sz="1100" baseline="0"/>
              <a:t> Rates by Program</a:t>
            </a:r>
          </a:p>
          <a:p>
            <a:pPr>
              <a:defRPr/>
            </a:pPr>
            <a:r>
              <a:rPr lang="en-US" sz="1100" baseline="0"/>
              <a:t>2024</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Graphs2!$A$38</c:f>
              <c:strCache>
                <c:ptCount val="1"/>
                <c:pt idx="0">
                  <c:v>2024</c:v>
                </c:pt>
              </c:strCache>
            </c:strRef>
          </c:tx>
          <c:spPr>
            <a:solidFill>
              <a:schemeClr val="bg1">
                <a:lumMod val="50000"/>
              </a:schemeClr>
            </a:solidFill>
            <a:ln>
              <a:solidFill>
                <a:schemeClr val="bg1">
                  <a:lumMod val="50000"/>
                </a:schemeClr>
              </a:solidFill>
            </a:ln>
            <a:effectLst/>
          </c:spPr>
          <c:invertIfNegative val="0"/>
          <c:dPt>
            <c:idx val="11"/>
            <c:invertIfNegative val="0"/>
            <c:bubble3D val="0"/>
            <c:spPr>
              <a:solidFill>
                <a:srgbClr val="00B050"/>
              </a:solidFill>
              <a:ln>
                <a:solidFill>
                  <a:srgbClr val="00B050"/>
                </a:solidFill>
              </a:ln>
              <a:effectLst/>
            </c:spPr>
            <c:extLst>
              <c:ext xmlns:c16="http://schemas.microsoft.com/office/drawing/2014/chart" uri="{C3380CC4-5D6E-409C-BE32-E72D297353CC}">
                <c16:uniqueId val="{00000001-4070-4256-888D-CC23E5C42FF8}"/>
              </c:ext>
            </c:extLst>
          </c:dPt>
          <c:dLbls>
            <c:dLbl>
              <c:idx val="1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4070-4256-888D-CC23E5C42F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Graphs2!$B$37:$M$37</c:f>
              <c:strCache>
                <c:ptCount val="12"/>
                <c:pt idx="0">
                  <c:v>ACCT</c:v>
                </c:pt>
                <c:pt idx="1">
                  <c:v>AGRIBUS</c:v>
                </c:pt>
                <c:pt idx="2">
                  <c:v>BANKFIN</c:v>
                </c:pt>
                <c:pt idx="3">
                  <c:v>BUSMGMT</c:v>
                </c:pt>
                <c:pt idx="4">
                  <c:v>ENTR</c:v>
                </c:pt>
                <c:pt idx="5">
                  <c:v>HUMANRESMAN</c:v>
                </c:pt>
                <c:pt idx="6">
                  <c:v>LOGISSPLY</c:v>
                </c:pt>
                <c:pt idx="7">
                  <c:v>MKTG</c:v>
                </c:pt>
                <c:pt idx="8">
                  <c:v>MEDSPPT</c:v>
                </c:pt>
                <c:pt idx="9">
                  <c:v>OFFADMIN</c:v>
                </c:pt>
                <c:pt idx="10">
                  <c:v>OFFMGMT</c:v>
                </c:pt>
                <c:pt idx="11">
                  <c:v>Total (BU Division)</c:v>
                </c:pt>
              </c:strCache>
            </c:strRef>
          </c:cat>
          <c:val>
            <c:numRef>
              <c:f>Graphs2!$B$38:$M$38</c:f>
              <c:numCache>
                <c:formatCode>0.00</c:formatCode>
                <c:ptCount val="12"/>
                <c:pt idx="0">
                  <c:v>-0.75</c:v>
                </c:pt>
                <c:pt idx="1">
                  <c:v>-7.407407407407407E-2</c:v>
                </c:pt>
                <c:pt idx="2">
                  <c:v>-1.0909090909090908</c:v>
                </c:pt>
                <c:pt idx="3">
                  <c:v>-0.58888888888888891</c:v>
                </c:pt>
                <c:pt idx="4">
                  <c:v>-0.66666666666666663</c:v>
                </c:pt>
                <c:pt idx="5">
                  <c:v>-1.8</c:v>
                </c:pt>
                <c:pt idx="6">
                  <c:v>0.2</c:v>
                </c:pt>
                <c:pt idx="7">
                  <c:v>-0.875</c:v>
                </c:pt>
                <c:pt idx="8">
                  <c:v>-7</c:v>
                </c:pt>
                <c:pt idx="9">
                  <c:v>-0.35714285714285715</c:v>
                </c:pt>
                <c:pt idx="10">
                  <c:v>-2.5</c:v>
                </c:pt>
                <c:pt idx="11">
                  <c:v>-0.66935483870967738</c:v>
                </c:pt>
              </c:numCache>
            </c:numRef>
          </c:val>
          <c:extLst>
            <c:ext xmlns:c16="http://schemas.microsoft.com/office/drawing/2014/chart" uri="{C3380CC4-5D6E-409C-BE32-E72D297353CC}">
              <c16:uniqueId val="{00000002-4070-4256-888D-CC23E5C42FF8}"/>
            </c:ext>
          </c:extLst>
        </c:ser>
        <c:dLbls>
          <c:dLblPos val="outEnd"/>
          <c:showLegendKey val="0"/>
          <c:showVal val="1"/>
          <c:showCatName val="0"/>
          <c:showSerName val="0"/>
          <c:showPercent val="0"/>
          <c:showBubbleSize val="0"/>
        </c:dLbls>
        <c:gapWidth val="219"/>
        <c:overlap val="-27"/>
        <c:axId val="625170975"/>
        <c:axId val="524842271"/>
      </c:barChart>
      <c:catAx>
        <c:axId val="6251709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4842271"/>
        <c:crosses val="autoZero"/>
        <c:auto val="1"/>
        <c:lblAlgn val="ctr"/>
        <c:lblOffset val="100"/>
        <c:noMultiLvlLbl val="0"/>
      </c:catAx>
      <c:valAx>
        <c:axId val="52484227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1709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Medical</a:t>
            </a:r>
            <a:r>
              <a:rPr lang="en-US" sz="1200" baseline="0"/>
              <a:t> Support Retention Rates</a:t>
            </a:r>
          </a:p>
          <a:p>
            <a:pPr>
              <a:defRPr/>
            </a:pPr>
            <a:r>
              <a:rPr lang="en-US" sz="1200" baseline="0"/>
              <a:t>2022 - 2024</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Graphs2!$C$16</c:f>
              <c:strCache>
                <c:ptCount val="1"/>
                <c:pt idx="0">
                  <c:v>MEDSPPT</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Graphs2!$B$17:$B$19</c:f>
              <c:numCache>
                <c:formatCode>General</c:formatCode>
                <c:ptCount val="3"/>
                <c:pt idx="0">
                  <c:v>2022</c:v>
                </c:pt>
                <c:pt idx="1">
                  <c:v>2023</c:v>
                </c:pt>
                <c:pt idx="2">
                  <c:v>2024</c:v>
                </c:pt>
              </c:numCache>
            </c:numRef>
          </c:cat>
          <c:val>
            <c:numRef>
              <c:f>Graphs2!$C$17:$C$19</c:f>
              <c:numCache>
                <c:formatCode>0.00</c:formatCode>
                <c:ptCount val="3"/>
                <c:pt idx="0">
                  <c:v>0.26923076923076922</c:v>
                </c:pt>
                <c:pt idx="1">
                  <c:v>-2.25</c:v>
                </c:pt>
                <c:pt idx="2">
                  <c:v>-7</c:v>
                </c:pt>
              </c:numCache>
            </c:numRef>
          </c:val>
          <c:extLst>
            <c:ext xmlns:c16="http://schemas.microsoft.com/office/drawing/2014/chart" uri="{C3380CC4-5D6E-409C-BE32-E72D297353CC}">
              <c16:uniqueId val="{00000000-0B9E-4EA2-98D2-C4AD1C346A7E}"/>
            </c:ext>
          </c:extLst>
        </c:ser>
        <c:ser>
          <c:idx val="1"/>
          <c:order val="1"/>
          <c:tx>
            <c:strRef>
              <c:f>Graphs2!$D$16</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Graphs2!$B$17:$B$19</c:f>
              <c:numCache>
                <c:formatCode>General</c:formatCode>
                <c:ptCount val="3"/>
                <c:pt idx="0">
                  <c:v>2022</c:v>
                </c:pt>
                <c:pt idx="1">
                  <c:v>2023</c:v>
                </c:pt>
                <c:pt idx="2">
                  <c:v>2024</c:v>
                </c:pt>
              </c:numCache>
            </c:numRef>
          </c:cat>
          <c:val>
            <c:numRef>
              <c:f>Graphs2!$D$17:$D$19</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0B9E-4EA2-98D2-C4AD1C346A7E}"/>
            </c:ext>
          </c:extLst>
        </c:ser>
        <c:dLbls>
          <c:dLblPos val="outEnd"/>
          <c:showLegendKey val="0"/>
          <c:showVal val="1"/>
          <c:showCatName val="0"/>
          <c:showSerName val="0"/>
          <c:showPercent val="0"/>
          <c:showBubbleSize val="0"/>
        </c:dLbls>
        <c:gapWidth val="219"/>
        <c:overlap val="-27"/>
        <c:axId val="614700671"/>
        <c:axId val="604503583"/>
      </c:barChart>
      <c:catAx>
        <c:axId val="6147006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4503583"/>
        <c:crosses val="autoZero"/>
        <c:auto val="1"/>
        <c:lblAlgn val="ctr"/>
        <c:lblOffset val="100"/>
        <c:noMultiLvlLbl val="0"/>
      </c:catAx>
      <c:valAx>
        <c:axId val="604503583"/>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700671"/>
        <c:crosses val="autoZero"/>
        <c:crossBetween val="between"/>
      </c:valAx>
      <c:spPr>
        <a:noFill/>
        <a:ln>
          <a:noFill/>
        </a:ln>
        <a:effectLst/>
      </c:spPr>
    </c:plotArea>
    <c:legend>
      <c:legendPos val="b"/>
      <c:layout>
        <c:manualLayout>
          <c:xMode val="edge"/>
          <c:yMode val="edge"/>
          <c:x val="0.36477384076990377"/>
          <c:y val="0.17283646835812194"/>
          <c:w val="0.29267454068241472"/>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Office</a:t>
            </a:r>
            <a:r>
              <a:rPr lang="en-US" sz="1200" baseline="0"/>
              <a:t> Administration Retention Rates</a:t>
            </a:r>
          </a:p>
          <a:p>
            <a:pPr>
              <a:defRPr/>
            </a:pPr>
            <a:r>
              <a:rPr lang="en-US" sz="1200" baseline="0"/>
              <a:t>2022 - 2024</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Graphs2!$C$23</c:f>
              <c:strCache>
                <c:ptCount val="1"/>
                <c:pt idx="0">
                  <c:v>OFFADMIN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Graphs2!$B$24:$B$26</c:f>
              <c:numCache>
                <c:formatCode>General</c:formatCode>
                <c:ptCount val="3"/>
                <c:pt idx="0">
                  <c:v>2022</c:v>
                </c:pt>
                <c:pt idx="1">
                  <c:v>2023</c:v>
                </c:pt>
                <c:pt idx="2">
                  <c:v>2024</c:v>
                </c:pt>
              </c:numCache>
            </c:numRef>
          </c:cat>
          <c:val>
            <c:numRef>
              <c:f>Graphs2!$C$24:$C$26</c:f>
              <c:numCache>
                <c:formatCode>0.00</c:formatCode>
                <c:ptCount val="3"/>
                <c:pt idx="0">
                  <c:v>0.52380952380952384</c:v>
                </c:pt>
                <c:pt idx="1">
                  <c:v>-0.10526315789473684</c:v>
                </c:pt>
                <c:pt idx="2">
                  <c:v>-0.35714285714285715</c:v>
                </c:pt>
              </c:numCache>
            </c:numRef>
          </c:val>
          <c:extLst>
            <c:ext xmlns:c16="http://schemas.microsoft.com/office/drawing/2014/chart" uri="{C3380CC4-5D6E-409C-BE32-E72D297353CC}">
              <c16:uniqueId val="{00000000-E76B-4C70-B942-74A87085D504}"/>
            </c:ext>
          </c:extLst>
        </c:ser>
        <c:ser>
          <c:idx val="1"/>
          <c:order val="1"/>
          <c:tx>
            <c:strRef>
              <c:f>Graphs2!$D$23</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Graphs2!$B$24:$B$26</c:f>
              <c:numCache>
                <c:formatCode>General</c:formatCode>
                <c:ptCount val="3"/>
                <c:pt idx="0">
                  <c:v>2022</c:v>
                </c:pt>
                <c:pt idx="1">
                  <c:v>2023</c:v>
                </c:pt>
                <c:pt idx="2">
                  <c:v>2024</c:v>
                </c:pt>
              </c:numCache>
            </c:numRef>
          </c:cat>
          <c:val>
            <c:numRef>
              <c:f>Graphs2!$D$24:$D$26</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E76B-4C70-B942-74A87085D504}"/>
            </c:ext>
          </c:extLst>
        </c:ser>
        <c:dLbls>
          <c:dLblPos val="outEnd"/>
          <c:showLegendKey val="0"/>
          <c:showVal val="1"/>
          <c:showCatName val="0"/>
          <c:showSerName val="0"/>
          <c:showPercent val="0"/>
          <c:showBubbleSize val="0"/>
        </c:dLbls>
        <c:gapWidth val="219"/>
        <c:overlap val="-27"/>
        <c:axId val="399523279"/>
        <c:axId val="604475503"/>
      </c:barChart>
      <c:catAx>
        <c:axId val="39952327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4475503"/>
        <c:crosses val="autoZero"/>
        <c:auto val="1"/>
        <c:lblAlgn val="ctr"/>
        <c:lblOffset val="100"/>
        <c:noMultiLvlLbl val="0"/>
      </c:catAx>
      <c:valAx>
        <c:axId val="604475503"/>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523279"/>
        <c:crosses val="autoZero"/>
        <c:crossBetween val="between"/>
      </c:valAx>
      <c:spPr>
        <a:noFill/>
        <a:ln>
          <a:noFill/>
        </a:ln>
        <a:effectLst/>
      </c:spPr>
    </c:plotArea>
    <c:legend>
      <c:legendPos val="b"/>
      <c:layout>
        <c:manualLayout>
          <c:xMode val="edge"/>
          <c:yMode val="edge"/>
          <c:x val="0.34280993000874893"/>
          <c:y val="0.17283646835812191"/>
          <c:w val="0.30882458442694666"/>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Office</a:t>
            </a:r>
            <a:r>
              <a:rPr lang="en-US" sz="1100" baseline="0"/>
              <a:t> Management Retention Rates</a:t>
            </a:r>
          </a:p>
          <a:p>
            <a:pPr>
              <a:defRPr/>
            </a:pPr>
            <a:r>
              <a:rPr lang="en-US" sz="1100" baseline="0"/>
              <a:t>2022 - 2024</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Graphs2!$C$30</c:f>
              <c:strCache>
                <c:ptCount val="1"/>
                <c:pt idx="0">
                  <c:v>OFFMGMT</c:v>
                </c:pt>
              </c:strCache>
            </c:strRef>
          </c:tx>
          <c:spPr>
            <a:solidFill>
              <a:srgbClr val="00B050"/>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FAC3-4D61-9600-E7F4DECFC6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Graphs2!$B$31:$B$33</c:f>
              <c:numCache>
                <c:formatCode>General</c:formatCode>
                <c:ptCount val="3"/>
                <c:pt idx="0">
                  <c:v>2022</c:v>
                </c:pt>
                <c:pt idx="1">
                  <c:v>2023</c:v>
                </c:pt>
                <c:pt idx="2">
                  <c:v>2024</c:v>
                </c:pt>
              </c:numCache>
            </c:numRef>
          </c:cat>
          <c:val>
            <c:numRef>
              <c:f>Graphs2!$C$31:$C$33</c:f>
              <c:numCache>
                <c:formatCode>0.00</c:formatCode>
                <c:ptCount val="3"/>
                <c:pt idx="0">
                  <c:v>0.54545454545454541</c:v>
                </c:pt>
                <c:pt idx="1">
                  <c:v>-0.5714285714285714</c:v>
                </c:pt>
                <c:pt idx="2">
                  <c:v>-2.5</c:v>
                </c:pt>
              </c:numCache>
            </c:numRef>
          </c:val>
          <c:extLst>
            <c:ext xmlns:c16="http://schemas.microsoft.com/office/drawing/2014/chart" uri="{C3380CC4-5D6E-409C-BE32-E72D297353CC}">
              <c16:uniqueId val="{00000002-FAC3-4D61-9600-E7F4DECFC6A7}"/>
            </c:ext>
          </c:extLst>
        </c:ser>
        <c:ser>
          <c:idx val="1"/>
          <c:order val="1"/>
          <c:tx>
            <c:strRef>
              <c:f>Graphs2!$D$30</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Graphs2!$B$31:$B$33</c:f>
              <c:numCache>
                <c:formatCode>General</c:formatCode>
                <c:ptCount val="3"/>
                <c:pt idx="0">
                  <c:v>2022</c:v>
                </c:pt>
                <c:pt idx="1">
                  <c:v>2023</c:v>
                </c:pt>
                <c:pt idx="2">
                  <c:v>2024</c:v>
                </c:pt>
              </c:numCache>
            </c:numRef>
          </c:cat>
          <c:val>
            <c:numRef>
              <c:f>Graphs2!$D$31:$D$33</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3-FAC3-4D61-9600-E7F4DECFC6A7}"/>
            </c:ext>
          </c:extLst>
        </c:ser>
        <c:dLbls>
          <c:dLblPos val="outEnd"/>
          <c:showLegendKey val="0"/>
          <c:showVal val="1"/>
          <c:showCatName val="0"/>
          <c:showSerName val="0"/>
          <c:showPercent val="0"/>
          <c:showBubbleSize val="0"/>
        </c:dLbls>
        <c:gapWidth val="219"/>
        <c:overlap val="-27"/>
        <c:axId val="719982319"/>
        <c:axId val="717869791"/>
      </c:barChart>
      <c:catAx>
        <c:axId val="71998231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17869791"/>
        <c:crosses val="autoZero"/>
        <c:auto val="1"/>
        <c:lblAlgn val="ctr"/>
        <c:lblOffset val="100"/>
        <c:noMultiLvlLbl val="0"/>
      </c:catAx>
      <c:valAx>
        <c:axId val="71786979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982319"/>
        <c:crosses val="autoZero"/>
        <c:crossBetween val="between"/>
      </c:valAx>
      <c:spPr>
        <a:noFill/>
        <a:ln>
          <a:noFill/>
        </a:ln>
        <a:effectLst/>
      </c:spPr>
    </c:plotArea>
    <c:legend>
      <c:legendPos val="b"/>
      <c:layout>
        <c:manualLayout>
          <c:xMode val="edge"/>
          <c:yMode val="edge"/>
          <c:x val="0.35878215223097115"/>
          <c:y val="0.1635772090988627"/>
          <c:w val="0.3046576990376203"/>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Accounting and</a:t>
            </a:r>
            <a:r>
              <a:rPr lang="en-US" sz="1200" baseline="0"/>
              <a:t> Business Division Retention Rates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Graphs!$B$3</c:f>
              <c:strCache>
                <c:ptCount val="1"/>
                <c:pt idx="0">
                  <c:v>ACCT</c:v>
                </c:pt>
              </c:strCache>
            </c:strRef>
          </c:tx>
          <c:spPr>
            <a:solidFill>
              <a:srgbClr val="00B050"/>
            </a:solidFill>
            <a:ln>
              <a:noFill/>
            </a:ln>
            <a:effectLst/>
          </c:spPr>
          <c:invertIfNegative val="0"/>
          <c:dLbls>
            <c:dLbl>
              <c:idx val="1"/>
              <c:layout>
                <c:manualLayout>
                  <c:x val="-5.074912539113852E-17"/>
                  <c:y val="1.5444015444015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F4-4948-B429-8D1DAF9B89C7}"/>
                </c:ext>
              </c:extLst>
            </c:dLbl>
            <c:dLbl>
              <c:idx val="2"/>
              <c:layout>
                <c:manualLayout>
                  <c:x val="2.7681660899653978E-3"/>
                  <c:y val="3.0888841597503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F4-4948-B429-8D1DAF9B89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Graphs!$A$4:$A$6</c:f>
              <c:numCache>
                <c:formatCode>General</c:formatCode>
                <c:ptCount val="3"/>
                <c:pt idx="0">
                  <c:v>2022</c:v>
                </c:pt>
                <c:pt idx="1">
                  <c:v>2023</c:v>
                </c:pt>
                <c:pt idx="2">
                  <c:v>2024</c:v>
                </c:pt>
              </c:numCache>
            </c:numRef>
          </c:cat>
          <c:val>
            <c:numRef>
              <c:f>Graphs!$B$4:$B$6</c:f>
              <c:numCache>
                <c:formatCode>0.00</c:formatCode>
                <c:ptCount val="3"/>
                <c:pt idx="0">
                  <c:v>0.23529411764705882</c:v>
                </c:pt>
                <c:pt idx="1">
                  <c:v>-0.32467532467532501</c:v>
                </c:pt>
                <c:pt idx="2">
                  <c:v>-0.75</c:v>
                </c:pt>
              </c:numCache>
            </c:numRef>
          </c:val>
          <c:extLst>
            <c:ext xmlns:c16="http://schemas.microsoft.com/office/drawing/2014/chart" uri="{C3380CC4-5D6E-409C-BE32-E72D297353CC}">
              <c16:uniqueId val="{00000002-1CF4-4948-B429-8D1DAF9B89C7}"/>
            </c:ext>
          </c:extLst>
        </c:ser>
        <c:ser>
          <c:idx val="1"/>
          <c:order val="1"/>
          <c:tx>
            <c:strRef>
              <c:f>Graphs!$C$3</c:f>
              <c:strCache>
                <c:ptCount val="1"/>
                <c:pt idx="0">
                  <c:v>BU Division</c:v>
                </c:pt>
              </c:strCache>
            </c:strRef>
          </c:tx>
          <c:spPr>
            <a:solidFill>
              <a:schemeClr val="bg1">
                <a:lumMod val="50000"/>
              </a:schemeClr>
            </a:solidFill>
            <a:ln>
              <a:noFill/>
            </a:ln>
            <a:effectLst/>
          </c:spPr>
          <c:invertIfNegative val="0"/>
          <c:dLbls>
            <c:dLbl>
              <c:idx val="1"/>
              <c:layout>
                <c:manualLayout>
                  <c:x val="-1.0149825078227704E-16"/>
                  <c:y val="1.54440154440155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F4-4948-B429-8D1DAF9B89C7}"/>
                </c:ext>
              </c:extLst>
            </c:dLbl>
            <c:dLbl>
              <c:idx val="2"/>
              <c:layout>
                <c:manualLayout>
                  <c:x val="-2.7681660899653978E-3"/>
                  <c:y val="1.54440154440155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F4-4948-B429-8D1DAF9B89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Graphs!$A$4:$A$6</c:f>
              <c:numCache>
                <c:formatCode>General</c:formatCode>
                <c:ptCount val="3"/>
                <c:pt idx="0">
                  <c:v>2022</c:v>
                </c:pt>
                <c:pt idx="1">
                  <c:v>2023</c:v>
                </c:pt>
                <c:pt idx="2">
                  <c:v>2024</c:v>
                </c:pt>
              </c:numCache>
            </c:numRef>
          </c:cat>
          <c:val>
            <c:numRef>
              <c:f>Graphs!$C$4:$C$6</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5-1CF4-4948-B429-8D1DAF9B89C7}"/>
            </c:ext>
          </c:extLst>
        </c:ser>
        <c:dLbls>
          <c:showLegendKey val="0"/>
          <c:showVal val="0"/>
          <c:showCatName val="0"/>
          <c:showSerName val="0"/>
          <c:showPercent val="0"/>
          <c:showBubbleSize val="0"/>
        </c:dLbls>
        <c:gapWidth val="219"/>
        <c:overlap val="-27"/>
        <c:axId val="1556434048"/>
        <c:axId val="1556487872"/>
      </c:barChart>
      <c:catAx>
        <c:axId val="15564340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56487872"/>
        <c:crosses val="autoZero"/>
        <c:auto val="1"/>
        <c:lblAlgn val="ctr"/>
        <c:lblOffset val="100"/>
        <c:noMultiLvlLbl val="0"/>
      </c:catAx>
      <c:valAx>
        <c:axId val="15564878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6434048"/>
        <c:crosses val="autoZero"/>
        <c:crossBetween val="between"/>
      </c:valAx>
      <c:spPr>
        <a:noFill/>
        <a:ln>
          <a:noFill/>
        </a:ln>
        <a:effectLst/>
      </c:spPr>
    </c:plotArea>
    <c:legend>
      <c:legendPos val="b"/>
      <c:layout>
        <c:manualLayout>
          <c:xMode val="edge"/>
          <c:yMode val="edge"/>
          <c:x val="0.36589413823272093"/>
          <c:y val="0.12094852726742486"/>
          <c:w val="0.26728343732119991"/>
          <c:h val="8.687319490469097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Agribusiness</a:t>
            </a:r>
            <a:r>
              <a:rPr lang="en-US" sz="1100" baseline="0"/>
              <a:t> Retention Rates </a:t>
            </a:r>
          </a:p>
          <a:p>
            <a:pPr>
              <a:defRPr/>
            </a:pPr>
            <a:r>
              <a:rPr lang="en-US" sz="1100" baseline="0"/>
              <a:t>2022 - 2024</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Graphs!$B$10</c:f>
              <c:strCache>
                <c:ptCount val="1"/>
                <c:pt idx="0">
                  <c:v>AGRIBUS</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Graphs!$A$11:$A$13</c:f>
              <c:numCache>
                <c:formatCode>General</c:formatCode>
                <c:ptCount val="3"/>
                <c:pt idx="0">
                  <c:v>2022</c:v>
                </c:pt>
                <c:pt idx="1">
                  <c:v>2023</c:v>
                </c:pt>
                <c:pt idx="2">
                  <c:v>2024</c:v>
                </c:pt>
              </c:numCache>
            </c:numRef>
          </c:cat>
          <c:val>
            <c:numRef>
              <c:f>Graphs!$B$11:$B$13</c:f>
              <c:numCache>
                <c:formatCode>0.00</c:formatCode>
                <c:ptCount val="3"/>
                <c:pt idx="0">
                  <c:v>0.84615384615384615</c:v>
                </c:pt>
                <c:pt idx="1">
                  <c:v>0.55172413793103448</c:v>
                </c:pt>
                <c:pt idx="2">
                  <c:v>-7.407407407407407E-2</c:v>
                </c:pt>
              </c:numCache>
            </c:numRef>
          </c:val>
          <c:extLst>
            <c:ext xmlns:c16="http://schemas.microsoft.com/office/drawing/2014/chart" uri="{C3380CC4-5D6E-409C-BE32-E72D297353CC}">
              <c16:uniqueId val="{00000000-24A2-4D15-A851-3824B1D5804F}"/>
            </c:ext>
          </c:extLst>
        </c:ser>
        <c:ser>
          <c:idx val="1"/>
          <c:order val="1"/>
          <c:tx>
            <c:strRef>
              <c:f>Graphs!$C$10</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Graphs!$A$11:$A$13</c:f>
              <c:numCache>
                <c:formatCode>General</c:formatCode>
                <c:ptCount val="3"/>
                <c:pt idx="0">
                  <c:v>2022</c:v>
                </c:pt>
                <c:pt idx="1">
                  <c:v>2023</c:v>
                </c:pt>
                <c:pt idx="2">
                  <c:v>2024</c:v>
                </c:pt>
              </c:numCache>
            </c:numRef>
          </c:cat>
          <c:val>
            <c:numRef>
              <c:f>Graphs!$C$11:$C$13</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24A2-4D15-A851-3824B1D5804F}"/>
            </c:ext>
          </c:extLst>
        </c:ser>
        <c:dLbls>
          <c:dLblPos val="outEnd"/>
          <c:showLegendKey val="0"/>
          <c:showVal val="1"/>
          <c:showCatName val="0"/>
          <c:showSerName val="0"/>
          <c:showPercent val="0"/>
          <c:showBubbleSize val="0"/>
        </c:dLbls>
        <c:gapWidth val="219"/>
        <c:overlap val="-27"/>
        <c:axId val="400659615"/>
        <c:axId val="334211215"/>
      </c:barChart>
      <c:catAx>
        <c:axId val="4006596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34211215"/>
        <c:crosses val="autoZero"/>
        <c:auto val="1"/>
        <c:lblAlgn val="ctr"/>
        <c:lblOffset val="100"/>
        <c:noMultiLvlLbl val="0"/>
      </c:catAx>
      <c:valAx>
        <c:axId val="33421121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659615"/>
        <c:crosses val="autoZero"/>
        <c:crossBetween val="between"/>
      </c:valAx>
      <c:spPr>
        <a:noFill/>
        <a:ln>
          <a:noFill/>
        </a:ln>
        <a:effectLst/>
      </c:spPr>
    </c:plotArea>
    <c:legend>
      <c:legendPos val="b"/>
      <c:layout>
        <c:manualLayout>
          <c:xMode val="edge"/>
          <c:yMode val="edge"/>
          <c:x val="0.344916447944007"/>
          <c:y val="0.19731192016839483"/>
          <c:w val="0.28562489063867019"/>
          <c:h val="9.095688147834930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Bank Finance Retention Rates</a:t>
            </a:r>
          </a:p>
          <a:p>
            <a:pPr>
              <a:defRPr/>
            </a:pPr>
            <a:r>
              <a:rPr lang="en-US" sz="1100"/>
              <a:t>2022 -</a:t>
            </a:r>
            <a:r>
              <a:rPr lang="en-US" sz="1100" baseline="0"/>
              <a:t> 2024</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Graphs!$B$17</c:f>
              <c:strCache>
                <c:ptCount val="1"/>
                <c:pt idx="0">
                  <c:v>BANKFIN</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Graphs!$A$18:$A$20</c:f>
              <c:numCache>
                <c:formatCode>General</c:formatCode>
                <c:ptCount val="3"/>
                <c:pt idx="0">
                  <c:v>2022</c:v>
                </c:pt>
                <c:pt idx="1">
                  <c:v>2023</c:v>
                </c:pt>
                <c:pt idx="2">
                  <c:v>2024</c:v>
                </c:pt>
              </c:numCache>
            </c:numRef>
          </c:cat>
          <c:val>
            <c:numRef>
              <c:f>Graphs!$B$18:$B$20</c:f>
              <c:numCache>
                <c:formatCode>0.00</c:formatCode>
                <c:ptCount val="3"/>
                <c:pt idx="0">
                  <c:v>0.23684210526315788</c:v>
                </c:pt>
                <c:pt idx="1">
                  <c:v>-0.65217391304347827</c:v>
                </c:pt>
                <c:pt idx="2">
                  <c:v>-1.0909090909090908</c:v>
                </c:pt>
              </c:numCache>
            </c:numRef>
          </c:val>
          <c:extLst>
            <c:ext xmlns:c16="http://schemas.microsoft.com/office/drawing/2014/chart" uri="{C3380CC4-5D6E-409C-BE32-E72D297353CC}">
              <c16:uniqueId val="{00000000-EA5D-437C-A9C5-A81137CF9BB2}"/>
            </c:ext>
          </c:extLst>
        </c:ser>
        <c:ser>
          <c:idx val="1"/>
          <c:order val="1"/>
          <c:tx>
            <c:strRef>
              <c:f>Graphs!$C$17</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Graphs!$A$18:$A$20</c:f>
              <c:numCache>
                <c:formatCode>General</c:formatCode>
                <c:ptCount val="3"/>
                <c:pt idx="0">
                  <c:v>2022</c:v>
                </c:pt>
                <c:pt idx="1">
                  <c:v>2023</c:v>
                </c:pt>
                <c:pt idx="2">
                  <c:v>2024</c:v>
                </c:pt>
              </c:numCache>
            </c:numRef>
          </c:cat>
          <c:val>
            <c:numRef>
              <c:f>Graphs!$C$18:$C$20</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EA5D-437C-A9C5-A81137CF9BB2}"/>
            </c:ext>
          </c:extLst>
        </c:ser>
        <c:dLbls>
          <c:showLegendKey val="0"/>
          <c:showVal val="0"/>
          <c:showCatName val="0"/>
          <c:showSerName val="0"/>
          <c:showPercent val="0"/>
          <c:showBubbleSize val="0"/>
        </c:dLbls>
        <c:gapWidth val="219"/>
        <c:overlap val="-27"/>
        <c:axId val="613221135"/>
        <c:axId val="613255471"/>
      </c:barChart>
      <c:catAx>
        <c:axId val="61322113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13255471"/>
        <c:crosses val="autoZero"/>
        <c:auto val="1"/>
        <c:lblAlgn val="ctr"/>
        <c:lblOffset val="100"/>
        <c:noMultiLvlLbl val="0"/>
      </c:catAx>
      <c:valAx>
        <c:axId val="61325547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221135"/>
        <c:crosses val="autoZero"/>
        <c:crossBetween val="between"/>
      </c:valAx>
      <c:spPr>
        <a:noFill/>
        <a:ln>
          <a:noFill/>
        </a:ln>
        <a:effectLst/>
      </c:spPr>
    </c:plotArea>
    <c:legend>
      <c:legendPos val="b"/>
      <c:layout>
        <c:manualLayout>
          <c:xMode val="edge"/>
          <c:yMode val="edge"/>
          <c:x val="0.34077528770442156"/>
          <c:y val="0.16261519393409155"/>
          <c:w val="0.30412686949634254"/>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Business Management Retention Rates</a:t>
            </a:r>
          </a:p>
          <a:p>
            <a:pPr>
              <a:defRPr/>
            </a:pPr>
            <a:r>
              <a:rPr lang="en-US" sz="1100"/>
              <a:t>2022 - 2024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Graphs!$B$25</c:f>
              <c:strCache>
                <c:ptCount val="1"/>
                <c:pt idx="0">
                  <c:v>BUSMGMT</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Graphs!$A$26:$A$28</c:f>
              <c:numCache>
                <c:formatCode>General</c:formatCode>
                <c:ptCount val="3"/>
                <c:pt idx="0">
                  <c:v>2022</c:v>
                </c:pt>
                <c:pt idx="1">
                  <c:v>2023</c:v>
                </c:pt>
                <c:pt idx="2">
                  <c:v>2024</c:v>
                </c:pt>
              </c:numCache>
            </c:numRef>
          </c:cat>
          <c:val>
            <c:numRef>
              <c:f>Graphs!$B$26:$B$28</c:f>
              <c:numCache>
                <c:formatCode>0.00</c:formatCode>
                <c:ptCount val="3"/>
                <c:pt idx="0">
                  <c:v>0.1125</c:v>
                </c:pt>
                <c:pt idx="1">
                  <c:v>-0.11888111888111888</c:v>
                </c:pt>
                <c:pt idx="2">
                  <c:v>-0.58888888888888891</c:v>
                </c:pt>
              </c:numCache>
            </c:numRef>
          </c:val>
          <c:extLst>
            <c:ext xmlns:c16="http://schemas.microsoft.com/office/drawing/2014/chart" uri="{C3380CC4-5D6E-409C-BE32-E72D297353CC}">
              <c16:uniqueId val="{00000000-BCDD-47F4-BB60-7DE968895594}"/>
            </c:ext>
          </c:extLst>
        </c:ser>
        <c:ser>
          <c:idx val="1"/>
          <c:order val="1"/>
          <c:tx>
            <c:strRef>
              <c:f>Graphs!$C$25</c:f>
              <c:strCache>
                <c:ptCount val="1"/>
                <c:pt idx="0">
                  <c:v>BU Division</c:v>
                </c:pt>
              </c:strCache>
            </c:strRef>
          </c:tx>
          <c:spPr>
            <a:solidFill>
              <a:schemeClr val="bg1">
                <a:lumMod val="5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Graphs!$A$26:$A$28</c:f>
              <c:numCache>
                <c:formatCode>General</c:formatCode>
                <c:ptCount val="3"/>
                <c:pt idx="0">
                  <c:v>2022</c:v>
                </c:pt>
                <c:pt idx="1">
                  <c:v>2023</c:v>
                </c:pt>
                <c:pt idx="2">
                  <c:v>2024</c:v>
                </c:pt>
              </c:numCache>
            </c:numRef>
          </c:cat>
          <c:val>
            <c:numRef>
              <c:f>Graphs!$C$26:$C$28</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BCDD-47F4-BB60-7DE968895594}"/>
            </c:ext>
          </c:extLst>
        </c:ser>
        <c:dLbls>
          <c:dLblPos val="outEnd"/>
          <c:showLegendKey val="0"/>
          <c:showVal val="1"/>
          <c:showCatName val="0"/>
          <c:showSerName val="0"/>
          <c:showPercent val="0"/>
          <c:showBubbleSize val="0"/>
        </c:dLbls>
        <c:gapWidth val="219"/>
        <c:overlap val="-27"/>
        <c:axId val="613167535"/>
        <c:axId val="517131231"/>
      </c:barChart>
      <c:catAx>
        <c:axId val="61316753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17131231"/>
        <c:crosses val="autoZero"/>
        <c:auto val="1"/>
        <c:lblAlgn val="ctr"/>
        <c:lblOffset val="100"/>
        <c:noMultiLvlLbl val="0"/>
      </c:catAx>
      <c:valAx>
        <c:axId val="51713123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67535"/>
        <c:crosses val="autoZero"/>
        <c:crossBetween val="between"/>
      </c:valAx>
      <c:spPr>
        <a:noFill/>
        <a:ln>
          <a:noFill/>
        </a:ln>
        <a:effectLst/>
      </c:spPr>
    </c:plotArea>
    <c:legend>
      <c:legendPos val="b"/>
      <c:layout>
        <c:manualLayout>
          <c:xMode val="edge"/>
          <c:yMode val="edge"/>
          <c:x val="0.35477099737532808"/>
          <c:y val="0.16510596806240346"/>
          <c:w val="0.30712467191601051"/>
          <c:h val="7.321178894694238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Entrepreneurship Retention Rates</a:t>
            </a:r>
          </a:p>
          <a:p>
            <a:pPr>
              <a:defRPr/>
            </a:pPr>
            <a:r>
              <a:rPr lang="en-US" sz="1100"/>
              <a:t>2022 -2024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Graphs!$B$32</c:f>
              <c:strCache>
                <c:ptCount val="1"/>
                <c:pt idx="0">
                  <c:v>ENTR</c:v>
                </c:pt>
              </c:strCache>
            </c:strRef>
          </c:tx>
          <c:spPr>
            <a:solidFill>
              <a:srgbClr val="00B050"/>
            </a:solidFill>
            <a:ln>
              <a:solidFill>
                <a:srgbClr val="00B050"/>
              </a:solidFill>
            </a:ln>
            <a:effectLst/>
          </c:spPr>
          <c:invertIfNegative val="0"/>
          <c:dLbls>
            <c:dLbl>
              <c:idx val="0"/>
              <c:layout>
                <c:manualLayout>
                  <c:x val="-2.92611558156547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A9-47D4-99F6-9BE1E9AE391F}"/>
                </c:ext>
              </c:extLst>
            </c:dLbl>
            <c:dLbl>
              <c:idx val="1"/>
              <c:layout>
                <c:manualLayout>
                  <c:x val="0"/>
                  <c:y val="1.8518518518518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A9-47D4-99F6-9BE1E9AE391F}"/>
                </c:ext>
              </c:extLst>
            </c:dLbl>
            <c:dLbl>
              <c:idx val="2"/>
              <c:layout>
                <c:manualLayout>
                  <c:x val="0"/>
                  <c:y val="1.8518518518518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A9-47D4-99F6-9BE1E9AE39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Graphs!$A$33:$A$35</c:f>
              <c:numCache>
                <c:formatCode>General</c:formatCode>
                <c:ptCount val="3"/>
                <c:pt idx="0">
                  <c:v>2022</c:v>
                </c:pt>
                <c:pt idx="1">
                  <c:v>2023</c:v>
                </c:pt>
                <c:pt idx="2">
                  <c:v>2024</c:v>
                </c:pt>
              </c:numCache>
            </c:numRef>
          </c:cat>
          <c:val>
            <c:numRef>
              <c:f>Graphs!$B$33:$B$35</c:f>
              <c:numCache>
                <c:formatCode>0.00</c:formatCode>
                <c:ptCount val="3"/>
                <c:pt idx="0">
                  <c:v>0.4</c:v>
                </c:pt>
                <c:pt idx="1">
                  <c:v>0.5</c:v>
                </c:pt>
                <c:pt idx="2">
                  <c:v>-0.66666666666666663</c:v>
                </c:pt>
              </c:numCache>
            </c:numRef>
          </c:val>
          <c:extLst>
            <c:ext xmlns:c16="http://schemas.microsoft.com/office/drawing/2014/chart" uri="{C3380CC4-5D6E-409C-BE32-E72D297353CC}">
              <c16:uniqueId val="{00000003-78A9-47D4-99F6-9BE1E9AE391F}"/>
            </c:ext>
          </c:extLst>
        </c:ser>
        <c:ser>
          <c:idx val="1"/>
          <c:order val="1"/>
          <c:tx>
            <c:strRef>
              <c:f>Graphs!$C$32</c:f>
              <c:strCache>
                <c:ptCount val="1"/>
                <c:pt idx="0">
                  <c:v>BU Division</c:v>
                </c:pt>
              </c:strCache>
            </c:strRef>
          </c:tx>
          <c:spPr>
            <a:solidFill>
              <a:schemeClr val="bg1">
                <a:lumMod val="50000"/>
              </a:schemeClr>
            </a:solidFill>
            <a:ln>
              <a:solidFill>
                <a:schemeClr val="bg1">
                  <a:lumMod val="50000"/>
                </a:schemeClr>
              </a:solidFill>
            </a:ln>
            <a:effectLst/>
          </c:spPr>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A9-47D4-99F6-9BE1E9AE391F}"/>
                </c:ext>
              </c:extLst>
            </c:dLbl>
            <c:dLbl>
              <c:idx val="1"/>
              <c:layout>
                <c:manualLayout>
                  <c:x val="0"/>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A9-47D4-99F6-9BE1E9AE391F}"/>
                </c:ext>
              </c:extLst>
            </c:dLbl>
            <c:dLbl>
              <c:idx val="2"/>
              <c:layout>
                <c:manualLayout>
                  <c:x val="-2.926115581565579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A9-47D4-99F6-9BE1E9AE39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Graphs!$A$33:$A$35</c:f>
              <c:numCache>
                <c:formatCode>General</c:formatCode>
                <c:ptCount val="3"/>
                <c:pt idx="0">
                  <c:v>2022</c:v>
                </c:pt>
                <c:pt idx="1">
                  <c:v>2023</c:v>
                </c:pt>
                <c:pt idx="2">
                  <c:v>2024</c:v>
                </c:pt>
              </c:numCache>
            </c:numRef>
          </c:cat>
          <c:val>
            <c:numRef>
              <c:f>Graphs!$C$33:$C$35</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7-78A9-47D4-99F6-9BE1E9AE391F}"/>
            </c:ext>
          </c:extLst>
        </c:ser>
        <c:dLbls>
          <c:showLegendKey val="0"/>
          <c:showVal val="0"/>
          <c:showCatName val="0"/>
          <c:showSerName val="0"/>
          <c:showPercent val="0"/>
          <c:showBubbleSize val="0"/>
        </c:dLbls>
        <c:gapWidth val="219"/>
        <c:overlap val="-27"/>
        <c:axId val="517071151"/>
        <c:axId val="603745135"/>
      </c:barChart>
      <c:catAx>
        <c:axId val="51707115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3745135"/>
        <c:crosses val="autoZero"/>
        <c:auto val="1"/>
        <c:lblAlgn val="ctr"/>
        <c:lblOffset val="100"/>
        <c:noMultiLvlLbl val="0"/>
      </c:catAx>
      <c:valAx>
        <c:axId val="60374513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71151"/>
        <c:crosses val="autoZero"/>
        <c:crossBetween val="between"/>
      </c:valAx>
      <c:spPr>
        <a:noFill/>
        <a:ln>
          <a:noFill/>
        </a:ln>
        <a:effectLst/>
      </c:spPr>
    </c:plotArea>
    <c:legend>
      <c:legendPos val="b"/>
      <c:layout>
        <c:manualLayout>
          <c:xMode val="edge"/>
          <c:yMode val="edge"/>
          <c:x val="0.37433681433566229"/>
          <c:y val="0.14042906095071447"/>
          <c:w val="0.2571786024918063"/>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Human Resources Management Retention Rates</a:t>
            </a:r>
          </a:p>
          <a:p>
            <a:pPr>
              <a:defRPr/>
            </a:pPr>
            <a:r>
              <a:rPr lang="en-US" sz="1100"/>
              <a:t>2022</a:t>
            </a:r>
            <a:r>
              <a:rPr lang="en-US" sz="1100" baseline="0"/>
              <a:t> - 2024</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Graphs!$B$39</c:f>
              <c:strCache>
                <c:ptCount val="1"/>
                <c:pt idx="0">
                  <c:v>HUMANRESMAN</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Graphs!$A$40:$A$42</c:f>
              <c:numCache>
                <c:formatCode>General</c:formatCode>
                <c:ptCount val="3"/>
                <c:pt idx="0">
                  <c:v>2022</c:v>
                </c:pt>
                <c:pt idx="1">
                  <c:v>2023</c:v>
                </c:pt>
                <c:pt idx="2">
                  <c:v>2024</c:v>
                </c:pt>
              </c:numCache>
            </c:numRef>
          </c:cat>
          <c:val>
            <c:numRef>
              <c:f>Graphs!$B$40:$B$42</c:f>
              <c:numCache>
                <c:formatCode>0.00</c:formatCode>
                <c:ptCount val="3"/>
                <c:pt idx="0">
                  <c:v>0.37777777777777777</c:v>
                </c:pt>
                <c:pt idx="1">
                  <c:v>-7.1428571428571425E-2</c:v>
                </c:pt>
                <c:pt idx="2">
                  <c:v>-1.8</c:v>
                </c:pt>
              </c:numCache>
            </c:numRef>
          </c:val>
          <c:extLst>
            <c:ext xmlns:c16="http://schemas.microsoft.com/office/drawing/2014/chart" uri="{C3380CC4-5D6E-409C-BE32-E72D297353CC}">
              <c16:uniqueId val="{00000000-F275-4FFE-B6D0-215CFD1EBF2B}"/>
            </c:ext>
          </c:extLst>
        </c:ser>
        <c:ser>
          <c:idx val="1"/>
          <c:order val="1"/>
          <c:tx>
            <c:strRef>
              <c:f>Graphs!$C$39</c:f>
              <c:strCache>
                <c:ptCount val="1"/>
                <c:pt idx="0">
                  <c:v>BU Division</c:v>
                </c:pt>
              </c:strCache>
            </c:strRef>
          </c:tx>
          <c:spPr>
            <a:solidFill>
              <a:schemeClr val="bg1">
                <a:lumMod val="5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Graphs!$A$40:$A$42</c:f>
              <c:numCache>
                <c:formatCode>General</c:formatCode>
                <c:ptCount val="3"/>
                <c:pt idx="0">
                  <c:v>2022</c:v>
                </c:pt>
                <c:pt idx="1">
                  <c:v>2023</c:v>
                </c:pt>
                <c:pt idx="2">
                  <c:v>2024</c:v>
                </c:pt>
              </c:numCache>
            </c:numRef>
          </c:cat>
          <c:val>
            <c:numRef>
              <c:f>Graphs!$C$40:$C$42</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F275-4FFE-B6D0-215CFD1EBF2B}"/>
            </c:ext>
          </c:extLst>
        </c:ser>
        <c:dLbls>
          <c:showLegendKey val="0"/>
          <c:showVal val="0"/>
          <c:showCatName val="0"/>
          <c:showSerName val="0"/>
          <c:showPercent val="0"/>
          <c:showBubbleSize val="0"/>
        </c:dLbls>
        <c:gapWidth val="219"/>
        <c:overlap val="-27"/>
        <c:axId val="625195375"/>
        <c:axId val="613552047"/>
      </c:barChart>
      <c:catAx>
        <c:axId val="6251953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13552047"/>
        <c:crosses val="autoZero"/>
        <c:auto val="1"/>
        <c:lblAlgn val="ctr"/>
        <c:lblOffset val="100"/>
        <c:noMultiLvlLbl val="0"/>
      </c:catAx>
      <c:valAx>
        <c:axId val="61355204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195375"/>
        <c:crosses val="autoZero"/>
        <c:crossBetween val="between"/>
      </c:valAx>
      <c:spPr>
        <a:noFill/>
        <a:ln>
          <a:noFill/>
        </a:ln>
        <a:effectLst/>
      </c:spPr>
    </c:plotArea>
    <c:legend>
      <c:legendPos val="b"/>
      <c:layout>
        <c:manualLayout>
          <c:xMode val="edge"/>
          <c:yMode val="edge"/>
          <c:x val="0.32952930883639547"/>
          <c:y val="0.15431794983960342"/>
          <c:w val="0.37427471566054243"/>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Logistics and</a:t>
            </a:r>
            <a:r>
              <a:rPr lang="en-US" sz="1200" baseline="0"/>
              <a:t> Supply Chain Management Retention Rates</a:t>
            </a:r>
          </a:p>
          <a:p>
            <a:pPr>
              <a:defRPr/>
            </a:pPr>
            <a:r>
              <a:rPr lang="en-US" sz="1200" baseline="0"/>
              <a:t>2022 - 2024</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Graphs2!$C$2</c:f>
              <c:strCache>
                <c:ptCount val="1"/>
                <c:pt idx="0">
                  <c:v>LOGISSPLY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Graphs2!$B$3:$B$5</c:f>
              <c:numCache>
                <c:formatCode>General</c:formatCode>
                <c:ptCount val="3"/>
                <c:pt idx="0">
                  <c:v>2022</c:v>
                </c:pt>
                <c:pt idx="1">
                  <c:v>2023</c:v>
                </c:pt>
                <c:pt idx="2">
                  <c:v>2024</c:v>
                </c:pt>
              </c:numCache>
            </c:numRef>
          </c:cat>
          <c:val>
            <c:numRef>
              <c:f>Graphs2!$C$3:$C$5</c:f>
              <c:numCache>
                <c:formatCode>0.00</c:formatCode>
                <c:ptCount val="3"/>
                <c:pt idx="0">
                  <c:v>0.27272727272727271</c:v>
                </c:pt>
                <c:pt idx="1">
                  <c:v>-1.75</c:v>
                </c:pt>
                <c:pt idx="2">
                  <c:v>0.2</c:v>
                </c:pt>
              </c:numCache>
            </c:numRef>
          </c:val>
          <c:extLst>
            <c:ext xmlns:c16="http://schemas.microsoft.com/office/drawing/2014/chart" uri="{C3380CC4-5D6E-409C-BE32-E72D297353CC}">
              <c16:uniqueId val="{00000000-0B7E-45FA-A754-AF83B44E9D11}"/>
            </c:ext>
          </c:extLst>
        </c:ser>
        <c:ser>
          <c:idx val="1"/>
          <c:order val="1"/>
          <c:tx>
            <c:strRef>
              <c:f>Graphs2!$D$2</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Graphs2!$B$3:$B$5</c:f>
              <c:numCache>
                <c:formatCode>General</c:formatCode>
                <c:ptCount val="3"/>
                <c:pt idx="0">
                  <c:v>2022</c:v>
                </c:pt>
                <c:pt idx="1">
                  <c:v>2023</c:v>
                </c:pt>
                <c:pt idx="2">
                  <c:v>2024</c:v>
                </c:pt>
              </c:numCache>
            </c:numRef>
          </c:cat>
          <c:val>
            <c:numRef>
              <c:f>Graphs2!$D$3:$D$5</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0B7E-45FA-A754-AF83B44E9D11}"/>
            </c:ext>
          </c:extLst>
        </c:ser>
        <c:dLbls>
          <c:dLblPos val="outEnd"/>
          <c:showLegendKey val="0"/>
          <c:showVal val="1"/>
          <c:showCatName val="0"/>
          <c:showSerName val="0"/>
          <c:showPercent val="0"/>
          <c:showBubbleSize val="0"/>
        </c:dLbls>
        <c:gapWidth val="219"/>
        <c:overlap val="-27"/>
        <c:axId val="614751471"/>
        <c:axId val="613157471"/>
      </c:barChart>
      <c:catAx>
        <c:axId val="6147514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13157471"/>
        <c:crosses val="autoZero"/>
        <c:auto val="1"/>
        <c:lblAlgn val="ctr"/>
        <c:lblOffset val="100"/>
        <c:noMultiLvlLbl val="0"/>
      </c:catAx>
      <c:valAx>
        <c:axId val="61315747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751471"/>
        <c:crosses val="autoZero"/>
        <c:crossBetween val="between"/>
      </c:valAx>
      <c:spPr>
        <a:noFill/>
        <a:ln>
          <a:noFill/>
        </a:ln>
        <a:effectLst/>
      </c:spPr>
    </c:plotArea>
    <c:legend>
      <c:legendPos val="b"/>
      <c:layout>
        <c:manualLayout>
          <c:xMode val="edge"/>
          <c:yMode val="edge"/>
          <c:x val="0.35389304461942256"/>
          <c:y val="0.16820683872849235"/>
          <c:w val="0.3033248031496063"/>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Marketing</a:t>
            </a:r>
            <a:r>
              <a:rPr lang="en-US" sz="1200" baseline="0"/>
              <a:t> Retention Rates</a:t>
            </a:r>
          </a:p>
          <a:p>
            <a:pPr>
              <a:defRPr/>
            </a:pPr>
            <a:r>
              <a:rPr lang="en-US" sz="1200" baseline="0"/>
              <a:t>2022 -2024</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Graphs2!$C$9</c:f>
              <c:strCache>
                <c:ptCount val="1"/>
                <c:pt idx="0">
                  <c:v>MKTG</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Graphs2!$B$10:$B$12</c:f>
              <c:numCache>
                <c:formatCode>General</c:formatCode>
                <c:ptCount val="3"/>
                <c:pt idx="0">
                  <c:v>2022</c:v>
                </c:pt>
                <c:pt idx="1">
                  <c:v>2023</c:v>
                </c:pt>
                <c:pt idx="2">
                  <c:v>2024</c:v>
                </c:pt>
              </c:numCache>
            </c:numRef>
          </c:cat>
          <c:val>
            <c:numRef>
              <c:f>Graphs2!$C$10:$C$12</c:f>
              <c:numCache>
                <c:formatCode>0.00</c:formatCode>
                <c:ptCount val="3"/>
                <c:pt idx="0">
                  <c:v>0.35483870967741937</c:v>
                </c:pt>
                <c:pt idx="1">
                  <c:v>0.31111111111111112</c:v>
                </c:pt>
                <c:pt idx="2">
                  <c:v>-0.875</c:v>
                </c:pt>
              </c:numCache>
            </c:numRef>
          </c:val>
          <c:extLst>
            <c:ext xmlns:c16="http://schemas.microsoft.com/office/drawing/2014/chart" uri="{C3380CC4-5D6E-409C-BE32-E72D297353CC}">
              <c16:uniqueId val="{00000000-6915-4736-8C61-C4875DF542BE}"/>
            </c:ext>
          </c:extLst>
        </c:ser>
        <c:ser>
          <c:idx val="1"/>
          <c:order val="1"/>
          <c:tx>
            <c:strRef>
              <c:f>Graphs2!$D$9</c:f>
              <c:strCache>
                <c:ptCount val="1"/>
                <c:pt idx="0">
                  <c:v>BU Division</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Graphs2!$B$10:$B$12</c:f>
              <c:numCache>
                <c:formatCode>General</c:formatCode>
                <c:ptCount val="3"/>
                <c:pt idx="0">
                  <c:v>2022</c:v>
                </c:pt>
                <c:pt idx="1">
                  <c:v>2023</c:v>
                </c:pt>
                <c:pt idx="2">
                  <c:v>2024</c:v>
                </c:pt>
              </c:numCache>
            </c:numRef>
          </c:cat>
          <c:val>
            <c:numRef>
              <c:f>Graphs2!$D$10:$D$12</c:f>
              <c:numCache>
                <c:formatCode>0.00</c:formatCode>
                <c:ptCount val="3"/>
                <c:pt idx="0">
                  <c:v>0.24145299145299146</c:v>
                </c:pt>
                <c:pt idx="1">
                  <c:v>-0.13043478260869565</c:v>
                </c:pt>
                <c:pt idx="2">
                  <c:v>-0.66935483870967738</c:v>
                </c:pt>
              </c:numCache>
            </c:numRef>
          </c:val>
          <c:extLst>
            <c:ext xmlns:c16="http://schemas.microsoft.com/office/drawing/2014/chart" uri="{C3380CC4-5D6E-409C-BE32-E72D297353CC}">
              <c16:uniqueId val="{00000001-6915-4736-8C61-C4875DF542BE}"/>
            </c:ext>
          </c:extLst>
        </c:ser>
        <c:dLbls>
          <c:dLblPos val="outEnd"/>
          <c:showLegendKey val="0"/>
          <c:showVal val="1"/>
          <c:showCatName val="0"/>
          <c:showSerName val="0"/>
          <c:showPercent val="0"/>
          <c:showBubbleSize val="0"/>
        </c:dLbls>
        <c:gapWidth val="219"/>
        <c:overlap val="-27"/>
        <c:axId val="625163375"/>
        <c:axId val="607090111"/>
      </c:barChart>
      <c:catAx>
        <c:axId val="6251633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7090111"/>
        <c:crosses val="autoZero"/>
        <c:auto val="1"/>
        <c:lblAlgn val="ctr"/>
        <c:lblOffset val="100"/>
        <c:noMultiLvlLbl val="0"/>
      </c:catAx>
      <c:valAx>
        <c:axId val="60709011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163375"/>
        <c:crosses val="autoZero"/>
        <c:crossBetween val="between"/>
      </c:valAx>
      <c:spPr>
        <a:noFill/>
        <a:ln>
          <a:noFill/>
        </a:ln>
        <a:effectLst/>
      </c:spPr>
    </c:plotArea>
    <c:legend>
      <c:legendPos val="b"/>
      <c:layout>
        <c:manualLayout>
          <c:xMode val="edge"/>
          <c:yMode val="edge"/>
          <c:x val="0.38439041994750656"/>
          <c:y val="0.16820683872849235"/>
          <c:w val="0.25344116360454944"/>
          <c:h val="7.2533902012248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Eason</dc:creator>
  <cp:keywords/>
  <dc:description/>
  <cp:lastModifiedBy>Jason Rickenberg</cp:lastModifiedBy>
  <cp:revision>2</cp:revision>
  <dcterms:created xsi:type="dcterms:W3CDTF">2024-02-13T19:17:00Z</dcterms:created>
  <dcterms:modified xsi:type="dcterms:W3CDTF">2024-02-13T19:17:00Z</dcterms:modified>
</cp:coreProperties>
</file>